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25D28" w14:textId="77777777" w:rsidR="009A6F4F" w:rsidRPr="009A6F4F" w:rsidRDefault="009A6F4F" w:rsidP="009A6F4F">
      <w:r w:rsidRPr="009A6F4F">
        <w:rPr>
          <w:b/>
          <w:bCs/>
        </w:rPr>
        <w:t>Columns:</w:t>
      </w:r>
    </w:p>
    <w:p w14:paraId="313CB826" w14:textId="77777777" w:rsidR="009A6F4F" w:rsidRPr="009A6F4F" w:rsidRDefault="009A6F4F" w:rsidP="009A6F4F">
      <w:r w:rsidRPr="009A6F4F">
        <w:t> </w:t>
      </w:r>
    </w:p>
    <w:p w14:paraId="017163F3" w14:textId="77777777" w:rsidR="009A6F4F" w:rsidRPr="009A6F4F" w:rsidRDefault="009A6F4F" w:rsidP="009A6F4F">
      <w:pPr>
        <w:numPr>
          <w:ilvl w:val="0"/>
          <w:numId w:val="1"/>
        </w:numPr>
      </w:pPr>
      <w:r w:rsidRPr="009A6F4F">
        <w:t>Column A: ‘</w:t>
      </w:r>
      <w:r w:rsidRPr="009A6F4F">
        <w:rPr>
          <w:i/>
          <w:iCs/>
        </w:rPr>
        <w:t>areacode</w:t>
      </w:r>
      <w:r w:rsidRPr="009A6F4F">
        <w:t>’ - geographical and administrative code used by the UK government for statistical purposes (</w:t>
      </w:r>
      <w:hyperlink r:id="rId8" w:tooltip="Original URL: https://geoportal.statistics.gov.uk/datasets/ons::local-authority-districts-april-2025-names-and-codes-in-the-uk-v2/about. Click or tap if you trust this link." w:history="1">
        <w:r w:rsidRPr="009A6F4F">
          <w:rPr>
            <w:rStyle w:val="Hyperlink"/>
          </w:rPr>
          <w:t>link</w:t>
        </w:r>
      </w:hyperlink>
      <w:r w:rsidRPr="009A6F4F">
        <w:t>)</w:t>
      </w:r>
    </w:p>
    <w:p w14:paraId="76140218" w14:textId="77777777" w:rsidR="009A6F4F" w:rsidRPr="009A6F4F" w:rsidRDefault="009A6F4F" w:rsidP="009A6F4F">
      <w:pPr>
        <w:numPr>
          <w:ilvl w:val="0"/>
          <w:numId w:val="1"/>
        </w:numPr>
      </w:pPr>
      <w:r w:rsidRPr="009A6F4F">
        <w:t>Column B:  ‘</w:t>
      </w:r>
      <w:r w:rsidRPr="009A6F4F">
        <w:rPr>
          <w:i/>
          <w:iCs/>
        </w:rPr>
        <w:t>area name’</w:t>
      </w:r>
      <w:r w:rsidRPr="009A6F4F">
        <w:t> – local area name</w:t>
      </w:r>
    </w:p>
    <w:p w14:paraId="78A141FC" w14:textId="77777777" w:rsidR="009A6F4F" w:rsidRPr="009A6F4F" w:rsidRDefault="009A6F4F" w:rsidP="009A6F4F">
      <w:pPr>
        <w:numPr>
          <w:ilvl w:val="0"/>
          <w:numId w:val="1"/>
        </w:numPr>
      </w:pPr>
      <w:r w:rsidRPr="009A6F4F">
        <w:t>Column C:  ‘</w:t>
      </w:r>
      <w:r w:rsidRPr="009A6F4F">
        <w:rPr>
          <w:i/>
          <w:iCs/>
        </w:rPr>
        <w:t>PGSI 1-2’</w:t>
      </w:r>
      <w:r w:rsidRPr="009A6F4F">
        <w:t> – proportion of adults in the local area scoring PGSI 1-2</w:t>
      </w:r>
    </w:p>
    <w:p w14:paraId="5D6D623F" w14:textId="77777777" w:rsidR="009A6F4F" w:rsidRPr="009A6F4F" w:rsidRDefault="009A6F4F" w:rsidP="009A6F4F">
      <w:pPr>
        <w:numPr>
          <w:ilvl w:val="0"/>
          <w:numId w:val="1"/>
        </w:numPr>
      </w:pPr>
      <w:r w:rsidRPr="009A6F4F">
        <w:t>Column D: ‘</w:t>
      </w:r>
      <w:r w:rsidRPr="009A6F4F">
        <w:rPr>
          <w:i/>
          <w:iCs/>
        </w:rPr>
        <w:t>PGSI 3-7’</w:t>
      </w:r>
      <w:r w:rsidRPr="009A6F4F">
        <w:t> – proportion of adults in the local area scoring PGSI 3-7</w:t>
      </w:r>
    </w:p>
    <w:p w14:paraId="485EF4E9" w14:textId="77777777" w:rsidR="009A6F4F" w:rsidRPr="009A6F4F" w:rsidRDefault="009A6F4F" w:rsidP="009A6F4F">
      <w:pPr>
        <w:numPr>
          <w:ilvl w:val="0"/>
          <w:numId w:val="1"/>
        </w:numPr>
      </w:pPr>
      <w:r w:rsidRPr="009A6F4F">
        <w:t>Column E:  ‘</w:t>
      </w:r>
      <w:r w:rsidRPr="009A6F4F">
        <w:rPr>
          <w:i/>
          <w:iCs/>
        </w:rPr>
        <w:t>PGSI 8+</w:t>
      </w:r>
      <w:r w:rsidRPr="009A6F4F">
        <w:t>’ – proportion of adults in the local area scoring PGSI 8+</w:t>
      </w:r>
    </w:p>
    <w:p w14:paraId="7DE6694E" w14:textId="77777777" w:rsidR="009A6F4F" w:rsidRPr="009A6F4F" w:rsidRDefault="009A6F4F" w:rsidP="009A6F4F">
      <w:pPr>
        <w:numPr>
          <w:ilvl w:val="0"/>
          <w:numId w:val="1"/>
        </w:numPr>
      </w:pPr>
      <w:r w:rsidRPr="009A6F4F">
        <w:t>Column F:  ‘</w:t>
      </w:r>
      <w:r w:rsidRPr="009A6F4F">
        <w:rPr>
          <w:i/>
          <w:iCs/>
        </w:rPr>
        <w:t>PGSI 1-2: Accessed treatment’</w:t>
      </w:r>
      <w:r w:rsidRPr="009A6F4F">
        <w:t> – proportion of adults with a PGSI score of 1-2 who have accessed services, support or advice to cut down on their gambling in the previous 12 months</w:t>
      </w:r>
    </w:p>
    <w:p w14:paraId="0B62CD4D" w14:textId="77777777" w:rsidR="009A6F4F" w:rsidRPr="009A6F4F" w:rsidRDefault="009A6F4F" w:rsidP="009A6F4F">
      <w:pPr>
        <w:numPr>
          <w:ilvl w:val="0"/>
          <w:numId w:val="1"/>
        </w:numPr>
      </w:pPr>
      <w:r w:rsidRPr="009A6F4F">
        <w:t>Column G: ‘</w:t>
      </w:r>
      <w:r w:rsidRPr="009A6F4F">
        <w:rPr>
          <w:i/>
          <w:iCs/>
        </w:rPr>
        <w:t>PGSI 3-7: Accessed treatment’</w:t>
      </w:r>
      <w:r w:rsidRPr="009A6F4F">
        <w:t> - proportion of adults with a PGSI score of 3-7 who have accessed services, support or advice to cut down on their gambling in the previous 12 months</w:t>
      </w:r>
    </w:p>
    <w:p w14:paraId="686AAF1A" w14:textId="77777777" w:rsidR="009A6F4F" w:rsidRPr="009A6F4F" w:rsidRDefault="009A6F4F" w:rsidP="009A6F4F">
      <w:pPr>
        <w:numPr>
          <w:ilvl w:val="0"/>
          <w:numId w:val="1"/>
        </w:numPr>
      </w:pPr>
      <w:r w:rsidRPr="009A6F4F">
        <w:t>Column H: ‘</w:t>
      </w:r>
      <w:r w:rsidRPr="009A6F4F">
        <w:rPr>
          <w:i/>
          <w:iCs/>
        </w:rPr>
        <w:t>PGSI 8+: Accessed treatment’</w:t>
      </w:r>
      <w:r w:rsidRPr="009A6F4F">
        <w:t> - proportion of adults with a PGSI score of 8+ who have accessed services, support or advice to cut down on their gambling in the previous 12 months</w:t>
      </w:r>
    </w:p>
    <w:p w14:paraId="5FCC781F" w14:textId="77777777" w:rsidR="009A6F4F" w:rsidRPr="009A6F4F" w:rsidRDefault="009A6F4F" w:rsidP="009A6F4F">
      <w:pPr>
        <w:numPr>
          <w:ilvl w:val="0"/>
          <w:numId w:val="1"/>
        </w:numPr>
      </w:pPr>
      <w:r w:rsidRPr="009A6F4F">
        <w:t>Column I:  ‘</w:t>
      </w:r>
      <w:r w:rsidRPr="009A6F4F">
        <w:rPr>
          <w:i/>
          <w:iCs/>
        </w:rPr>
        <w:t>PGSI 1-2: Want treatment’</w:t>
      </w:r>
      <w:r w:rsidRPr="009A6F4F">
        <w:t> - proportion of adults with a PGSI score of 1-2 who want treatment, support or advice to cut down on their gambling in the previous 12 months</w:t>
      </w:r>
    </w:p>
    <w:p w14:paraId="42292AE2" w14:textId="77777777" w:rsidR="009A6F4F" w:rsidRPr="009A6F4F" w:rsidRDefault="009A6F4F" w:rsidP="009A6F4F">
      <w:pPr>
        <w:numPr>
          <w:ilvl w:val="0"/>
          <w:numId w:val="1"/>
        </w:numPr>
      </w:pPr>
      <w:r w:rsidRPr="009A6F4F">
        <w:t>Column J: ‘</w:t>
      </w:r>
      <w:r w:rsidRPr="009A6F4F">
        <w:rPr>
          <w:i/>
          <w:iCs/>
        </w:rPr>
        <w:t>PGSI 3-7: Want treatment’</w:t>
      </w:r>
      <w:r w:rsidRPr="009A6F4F">
        <w:t> - proportion of adults with a PGSI score of 3-7 who want treatment, support or advice to cut down on their gambling in the previous 12 months</w:t>
      </w:r>
    </w:p>
    <w:p w14:paraId="405EEFFA" w14:textId="77777777" w:rsidR="009A6F4F" w:rsidRPr="009A6F4F" w:rsidRDefault="009A6F4F" w:rsidP="009A6F4F">
      <w:pPr>
        <w:numPr>
          <w:ilvl w:val="0"/>
          <w:numId w:val="1"/>
        </w:numPr>
      </w:pPr>
      <w:r w:rsidRPr="009A6F4F">
        <w:t>Column K:  </w:t>
      </w:r>
      <w:r w:rsidRPr="009A6F4F">
        <w:rPr>
          <w:i/>
          <w:iCs/>
        </w:rPr>
        <w:t>‘PGSI 8+: Want treatment’</w:t>
      </w:r>
      <w:r w:rsidRPr="009A6F4F">
        <w:t> - proportion of adults with a PGSI score of 8+ who want treatment, support or advice to cut down on their gambling in the previous 12 months</w:t>
      </w:r>
    </w:p>
    <w:p w14:paraId="1529156D" w14:textId="77777777" w:rsidR="009A6F4F" w:rsidRPr="009A6F4F" w:rsidRDefault="009A6F4F" w:rsidP="009A6F4F">
      <w:pPr>
        <w:numPr>
          <w:ilvl w:val="0"/>
          <w:numId w:val="1"/>
        </w:numPr>
      </w:pPr>
      <w:r w:rsidRPr="009A6F4F">
        <w:t>Column L: ‘</w:t>
      </w:r>
      <w:r w:rsidRPr="009A6F4F">
        <w:rPr>
          <w:i/>
          <w:iCs/>
        </w:rPr>
        <w:t>Health: General Medical Service Consultation (mental health)</w:t>
      </w:r>
      <w:r w:rsidRPr="009A6F4F">
        <w:t>’- excess cost of harm associated with ‘problem gambling’ in the area for General Medical Service Consultation (mental health)</w:t>
      </w:r>
    </w:p>
    <w:p w14:paraId="6427B4A3" w14:textId="77777777" w:rsidR="009A6F4F" w:rsidRPr="009A6F4F" w:rsidRDefault="009A6F4F" w:rsidP="009A6F4F">
      <w:pPr>
        <w:numPr>
          <w:ilvl w:val="0"/>
          <w:numId w:val="1"/>
        </w:numPr>
      </w:pPr>
      <w:r w:rsidRPr="009A6F4F">
        <w:t>Column M: ‘</w:t>
      </w:r>
      <w:r w:rsidRPr="009A6F4F">
        <w:rPr>
          <w:i/>
          <w:iCs/>
        </w:rPr>
        <w:t>Health: Hospital Inpatient’</w:t>
      </w:r>
      <w:r w:rsidRPr="009A6F4F">
        <w:t> - excess cost of harm associated with ‘problem gambling’ in the area for Hospital Inpatient</w:t>
      </w:r>
    </w:p>
    <w:p w14:paraId="6249BA56" w14:textId="77777777" w:rsidR="009A6F4F" w:rsidRPr="009A6F4F" w:rsidRDefault="009A6F4F" w:rsidP="009A6F4F">
      <w:pPr>
        <w:numPr>
          <w:ilvl w:val="0"/>
          <w:numId w:val="1"/>
        </w:numPr>
      </w:pPr>
      <w:r w:rsidRPr="009A6F4F">
        <w:t>Column N: ‘</w:t>
      </w:r>
      <w:r w:rsidRPr="009A6F4F">
        <w:rPr>
          <w:i/>
          <w:iCs/>
        </w:rPr>
        <w:t>Crime: Crime Committed (police call out)’ </w:t>
      </w:r>
      <w:r w:rsidRPr="009A6F4F">
        <w:t>- excess cost of harm associated with ‘problem gambling’ in the area for Crime Committed (police call out)</w:t>
      </w:r>
    </w:p>
    <w:p w14:paraId="417E6F60" w14:textId="77777777" w:rsidR="009A6F4F" w:rsidRPr="009A6F4F" w:rsidRDefault="009A6F4F" w:rsidP="009A6F4F">
      <w:pPr>
        <w:numPr>
          <w:ilvl w:val="0"/>
          <w:numId w:val="1"/>
        </w:numPr>
      </w:pPr>
      <w:r w:rsidRPr="009A6F4F">
        <w:t>Column O: ‘</w:t>
      </w:r>
      <w:r w:rsidRPr="009A6F4F">
        <w:rPr>
          <w:i/>
          <w:iCs/>
        </w:rPr>
        <w:t>Crime: Court Appearance’ </w:t>
      </w:r>
      <w:r w:rsidRPr="009A6F4F">
        <w:t>- excess cost of harm associated with ‘problem gambling’ in the area for Court Appearance</w:t>
      </w:r>
    </w:p>
    <w:p w14:paraId="2A839290" w14:textId="77777777" w:rsidR="009A6F4F" w:rsidRPr="009A6F4F" w:rsidRDefault="009A6F4F" w:rsidP="009A6F4F">
      <w:pPr>
        <w:numPr>
          <w:ilvl w:val="0"/>
          <w:numId w:val="1"/>
        </w:numPr>
      </w:pPr>
      <w:r w:rsidRPr="009A6F4F">
        <w:t>Column P: ‘</w:t>
      </w:r>
      <w:r w:rsidRPr="009A6F4F">
        <w:rPr>
          <w:i/>
          <w:iCs/>
        </w:rPr>
        <w:t>Housing: Homelessness Support’ </w:t>
      </w:r>
      <w:r w:rsidRPr="009A6F4F">
        <w:t>- excess cost of harm associated with ‘problem gambling’ in the area for Homelessness Support</w:t>
      </w:r>
    </w:p>
    <w:p w14:paraId="149A6C3E" w14:textId="77777777" w:rsidR="009A6F4F" w:rsidRPr="009A6F4F" w:rsidRDefault="009A6F4F" w:rsidP="009A6F4F">
      <w:pPr>
        <w:numPr>
          <w:ilvl w:val="0"/>
          <w:numId w:val="1"/>
        </w:numPr>
      </w:pPr>
      <w:r w:rsidRPr="009A6F4F">
        <w:t>Column Q: ‘</w:t>
      </w:r>
      <w:r w:rsidRPr="009A6F4F">
        <w:rPr>
          <w:i/>
          <w:iCs/>
        </w:rPr>
        <w:t>Welfare: Universal Credit’ </w:t>
      </w:r>
      <w:r w:rsidRPr="009A6F4F">
        <w:t>- excess cost of harm associated with ‘problem gambling’ in the area for Universal Credit</w:t>
      </w:r>
    </w:p>
    <w:p w14:paraId="03373668" w14:textId="77777777" w:rsidR="009A6F4F" w:rsidRPr="009A6F4F" w:rsidRDefault="009A6F4F" w:rsidP="009A6F4F">
      <w:pPr>
        <w:numPr>
          <w:ilvl w:val="0"/>
          <w:numId w:val="1"/>
        </w:numPr>
      </w:pPr>
      <w:r w:rsidRPr="009A6F4F">
        <w:t>Column R: ‘</w:t>
      </w:r>
      <w:r w:rsidRPr="009A6F4F">
        <w:rPr>
          <w:i/>
          <w:iCs/>
        </w:rPr>
        <w:t>Aged 18 – 34’</w:t>
      </w:r>
      <w:r w:rsidRPr="009A6F4F">
        <w:t> - proportion of people aged 18-34 in the local area</w:t>
      </w:r>
    </w:p>
    <w:p w14:paraId="782EE9E0" w14:textId="77777777" w:rsidR="009A6F4F" w:rsidRPr="009A6F4F" w:rsidRDefault="009A6F4F" w:rsidP="009A6F4F">
      <w:pPr>
        <w:numPr>
          <w:ilvl w:val="0"/>
          <w:numId w:val="1"/>
        </w:numPr>
      </w:pPr>
      <w:r w:rsidRPr="009A6F4F">
        <w:lastRenderedPageBreak/>
        <w:t>Column S: ‘</w:t>
      </w:r>
      <w:r w:rsidRPr="009A6F4F">
        <w:rPr>
          <w:i/>
          <w:iCs/>
        </w:rPr>
        <w:t>BAME Groups’ </w:t>
      </w:r>
      <w:r w:rsidRPr="009A6F4F">
        <w:t>- proportion of people from Black, Asian and other Minority Ethnic (BAME) groups in the local area</w:t>
      </w:r>
    </w:p>
    <w:p w14:paraId="3ACF3C20" w14:textId="77777777" w:rsidR="009A6F4F" w:rsidRPr="009A6F4F" w:rsidRDefault="009A6F4F" w:rsidP="009A6F4F">
      <w:pPr>
        <w:numPr>
          <w:ilvl w:val="0"/>
          <w:numId w:val="1"/>
        </w:numPr>
      </w:pPr>
      <w:r w:rsidRPr="009A6F4F">
        <w:t>Column T:  ‘</w:t>
      </w:r>
      <w:r w:rsidRPr="009A6F4F">
        <w:rPr>
          <w:i/>
          <w:iCs/>
        </w:rPr>
        <w:t>Unemployed/Inactive’</w:t>
      </w:r>
      <w:r w:rsidRPr="009A6F4F">
        <w:t>- proportion of people unemployed or economically inactive in the local area</w:t>
      </w:r>
    </w:p>
    <w:p w14:paraId="3B426ADF" w14:textId="77777777" w:rsidR="009A6F4F" w:rsidRPr="009A6F4F" w:rsidRDefault="009A6F4F" w:rsidP="009A6F4F">
      <w:pPr>
        <w:numPr>
          <w:ilvl w:val="0"/>
          <w:numId w:val="1"/>
        </w:numPr>
      </w:pPr>
      <w:r w:rsidRPr="009A6F4F">
        <w:t>Column U: ‘</w:t>
      </w:r>
      <w:r w:rsidRPr="009A6F4F">
        <w:rPr>
          <w:i/>
          <w:iCs/>
        </w:rPr>
        <w:t>Full-Time Student’</w:t>
      </w:r>
      <w:r w:rsidRPr="009A6F4F">
        <w:t>- proportion of full-time students in the local area</w:t>
      </w:r>
    </w:p>
    <w:p w14:paraId="7E0ABF48" w14:textId="77777777" w:rsidR="009A6F4F" w:rsidRPr="009A6F4F" w:rsidRDefault="009A6F4F" w:rsidP="009A6F4F">
      <w:pPr>
        <w:numPr>
          <w:ilvl w:val="0"/>
          <w:numId w:val="1"/>
        </w:numPr>
      </w:pPr>
      <w:r w:rsidRPr="009A6F4F">
        <w:t>Column V: ‘</w:t>
      </w:r>
      <w:r w:rsidRPr="009A6F4F">
        <w:rPr>
          <w:i/>
          <w:iCs/>
        </w:rPr>
        <w:t>Not In Relationship’ </w:t>
      </w:r>
      <w:r w:rsidRPr="009A6F4F">
        <w:t>- proportion of people who are not in a relationship in the local area</w:t>
      </w:r>
    </w:p>
    <w:p w14:paraId="7D5917ED" w14:textId="77777777" w:rsidR="009A6F4F" w:rsidRPr="009A6F4F" w:rsidRDefault="009A6F4F" w:rsidP="009A6F4F">
      <w:r w:rsidRPr="009A6F4F">
        <w:rPr>
          <w:b/>
          <w:bCs/>
        </w:rPr>
        <w:t> </w:t>
      </w:r>
    </w:p>
    <w:p w14:paraId="5DF7D928" w14:textId="77777777" w:rsidR="009A6F4F" w:rsidRPr="009A6F4F" w:rsidRDefault="009A6F4F" w:rsidP="009A6F4F">
      <w:r w:rsidRPr="009A6F4F">
        <w:rPr>
          <w:b/>
          <w:bCs/>
        </w:rPr>
        <w:t>Data Source:</w:t>
      </w:r>
    </w:p>
    <w:p w14:paraId="0852A954" w14:textId="77777777" w:rsidR="009A6F4F" w:rsidRPr="009A6F4F" w:rsidRDefault="009A6F4F" w:rsidP="009A6F4F">
      <w:r w:rsidRPr="009A6F4F">
        <w:t> </w:t>
      </w:r>
    </w:p>
    <w:p w14:paraId="6636AE2A" w14:textId="7CE231E6" w:rsidR="009A6F4F" w:rsidRPr="009A6F4F" w:rsidRDefault="009A6F4F" w:rsidP="009A6F4F">
      <w:r w:rsidRPr="009A6F4F">
        <w:rPr>
          <w:b/>
          <w:bCs/>
        </w:rPr>
        <w:t>Columns C-K</w:t>
      </w:r>
      <w:r w:rsidRPr="009A6F4F">
        <w:t xml:space="preserve">: The data is modelled from the national Annual Treatment and Support survey </w:t>
      </w:r>
      <w:r w:rsidR="00CA2889">
        <w:t xml:space="preserve">2023 and </w:t>
      </w:r>
      <w:r w:rsidRPr="009A6F4F">
        <w:t xml:space="preserve">2024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 The population data used </w:t>
      </w:r>
      <w:r w:rsidR="00CA2889">
        <w:t xml:space="preserve">in 2024 for local authority estimates </w:t>
      </w:r>
      <w:r w:rsidRPr="009A6F4F">
        <w:t>was population estimates to the latest from ONS (Mid-2023 dataset attached, accessed from </w:t>
      </w:r>
      <w:hyperlink r:id="rId9" w:tooltip="Original URL: https://www.ons.gov.uk/peoplepopulationandcommunity/populationandmigration/populationestimates/datasets/populationestimatesforukenglandandwalesscotlandandnorthernireland. Click or tap if you trust this link." w:history="1">
        <w:r w:rsidRPr="009A6F4F">
          <w:rPr>
            <w:rStyle w:val="Hyperlink"/>
          </w:rPr>
          <w:t>here</w:t>
        </w:r>
      </w:hyperlink>
      <w:r w:rsidRPr="009A6F4F">
        <w:t>).</w:t>
      </w:r>
    </w:p>
    <w:p w14:paraId="5AC4795E" w14:textId="77777777" w:rsidR="009A6F4F" w:rsidRPr="009A6F4F" w:rsidRDefault="009A6F4F" w:rsidP="009A6F4F">
      <w:r w:rsidRPr="009A6F4F">
        <w:t> </w:t>
      </w:r>
    </w:p>
    <w:p w14:paraId="3E70EB82" w14:textId="41C1C813" w:rsidR="009A6F4F" w:rsidRPr="009A6F4F" w:rsidRDefault="009A6F4F" w:rsidP="009A6F4F">
      <w:r w:rsidRPr="009A6F4F">
        <w:rPr>
          <w:b/>
          <w:bCs/>
        </w:rPr>
        <w:t>Columns L-Q</w:t>
      </w:r>
      <w:r w:rsidRPr="009A6F4F">
        <w:t xml:space="preserve">: In April 2023, the National Institute of Economic and Social Research (NIESR) estimated that the annual fiscal cost of ‘problem gambling’ (PGSI 8+) is roughly £1.4 billion (in 2023 prices)  which is approximately £1.48 billion </w:t>
      </w:r>
      <w:r w:rsidR="003E370E">
        <w:t>in 2024</w:t>
      </w:r>
      <w:r w:rsidRPr="009A6F4F">
        <w:t xml:space="preserve"> when adjusting for inflation .The data shows the excess cost of harm associated with gambling across the local area. NIESR’s national figures have been inflation-adjusted then apportioned to each area based on the Local Authority’s estimated share of the total number of people in Great Britain who are PGSI 8+.</w:t>
      </w:r>
    </w:p>
    <w:p w14:paraId="0D07A456" w14:textId="77777777" w:rsidR="009A6F4F" w:rsidRPr="009A6F4F" w:rsidRDefault="009A6F4F" w:rsidP="009A6F4F">
      <w:r w:rsidRPr="009A6F4F">
        <w:t> </w:t>
      </w:r>
    </w:p>
    <w:p w14:paraId="79381D01" w14:textId="77777777" w:rsidR="009A6F4F" w:rsidRPr="009A6F4F" w:rsidRDefault="009A6F4F" w:rsidP="009A6F4F">
      <w:r w:rsidRPr="009A6F4F">
        <w:rPr>
          <w:b/>
          <w:bCs/>
        </w:rPr>
        <w:t>Columns R-V</w:t>
      </w:r>
      <w:r w:rsidRPr="009A6F4F">
        <w:t>: Demographic breakdown data is sourced from England and Wales Census 2021, and Scotland Census 2022, with the exception of age and gender breakdowns – which are taken from the latest ONS Mid-Year Estimates available for the area, 2023 for Local Authorities and 2022 for Parliamentary Constituencies.</w:t>
      </w:r>
    </w:p>
    <w:p w14:paraId="09CCC237" w14:textId="77777777" w:rsidR="00C7555F" w:rsidRDefault="00C7555F"/>
    <w:sectPr w:rsidR="00C7555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F07AB"/>
    <w:multiLevelType w:val="multilevel"/>
    <w:tmpl w:val="B470D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805442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F4F"/>
    <w:rsid w:val="003E370E"/>
    <w:rsid w:val="009A6F4F"/>
    <w:rsid w:val="00C664D9"/>
    <w:rsid w:val="00C7555F"/>
    <w:rsid w:val="00CA2889"/>
    <w:rsid w:val="00FF2A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6EA4E"/>
  <w15:chartTrackingRefBased/>
  <w15:docId w15:val="{CF0B47F4-43D1-4853-8350-7C5E01557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A6F4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A6F4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A6F4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A6F4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A6F4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A6F4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A6F4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A6F4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A6F4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6F4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A6F4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A6F4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A6F4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A6F4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A6F4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A6F4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A6F4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A6F4F"/>
    <w:rPr>
      <w:rFonts w:eastAsiaTheme="majorEastAsia" w:cstheme="majorBidi"/>
      <w:color w:val="272727" w:themeColor="text1" w:themeTint="D8"/>
    </w:rPr>
  </w:style>
  <w:style w:type="paragraph" w:styleId="Title">
    <w:name w:val="Title"/>
    <w:basedOn w:val="Normal"/>
    <w:next w:val="Normal"/>
    <w:link w:val="TitleChar"/>
    <w:uiPriority w:val="10"/>
    <w:qFormat/>
    <w:rsid w:val="009A6F4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A6F4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A6F4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A6F4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A6F4F"/>
    <w:pPr>
      <w:spacing w:before="160"/>
      <w:jc w:val="center"/>
    </w:pPr>
    <w:rPr>
      <w:i/>
      <w:iCs/>
      <w:color w:val="404040" w:themeColor="text1" w:themeTint="BF"/>
    </w:rPr>
  </w:style>
  <w:style w:type="character" w:customStyle="1" w:styleId="QuoteChar">
    <w:name w:val="Quote Char"/>
    <w:basedOn w:val="DefaultParagraphFont"/>
    <w:link w:val="Quote"/>
    <w:uiPriority w:val="29"/>
    <w:rsid w:val="009A6F4F"/>
    <w:rPr>
      <w:i/>
      <w:iCs/>
      <w:color w:val="404040" w:themeColor="text1" w:themeTint="BF"/>
    </w:rPr>
  </w:style>
  <w:style w:type="paragraph" w:styleId="ListParagraph">
    <w:name w:val="List Paragraph"/>
    <w:basedOn w:val="Normal"/>
    <w:uiPriority w:val="34"/>
    <w:qFormat/>
    <w:rsid w:val="009A6F4F"/>
    <w:pPr>
      <w:ind w:left="720"/>
      <w:contextualSpacing/>
    </w:pPr>
  </w:style>
  <w:style w:type="character" w:styleId="IntenseEmphasis">
    <w:name w:val="Intense Emphasis"/>
    <w:basedOn w:val="DefaultParagraphFont"/>
    <w:uiPriority w:val="21"/>
    <w:qFormat/>
    <w:rsid w:val="009A6F4F"/>
    <w:rPr>
      <w:i/>
      <w:iCs/>
      <w:color w:val="2F5496" w:themeColor="accent1" w:themeShade="BF"/>
    </w:rPr>
  </w:style>
  <w:style w:type="paragraph" w:styleId="IntenseQuote">
    <w:name w:val="Intense Quote"/>
    <w:basedOn w:val="Normal"/>
    <w:next w:val="Normal"/>
    <w:link w:val="IntenseQuoteChar"/>
    <w:uiPriority w:val="30"/>
    <w:qFormat/>
    <w:rsid w:val="009A6F4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A6F4F"/>
    <w:rPr>
      <w:i/>
      <w:iCs/>
      <w:color w:val="2F5496" w:themeColor="accent1" w:themeShade="BF"/>
    </w:rPr>
  </w:style>
  <w:style w:type="character" w:styleId="IntenseReference">
    <w:name w:val="Intense Reference"/>
    <w:basedOn w:val="DefaultParagraphFont"/>
    <w:uiPriority w:val="32"/>
    <w:qFormat/>
    <w:rsid w:val="009A6F4F"/>
    <w:rPr>
      <w:b/>
      <w:bCs/>
      <w:smallCaps/>
      <w:color w:val="2F5496" w:themeColor="accent1" w:themeShade="BF"/>
      <w:spacing w:val="5"/>
    </w:rPr>
  </w:style>
  <w:style w:type="character" w:styleId="Hyperlink">
    <w:name w:val="Hyperlink"/>
    <w:basedOn w:val="DefaultParagraphFont"/>
    <w:uiPriority w:val="99"/>
    <w:unhideWhenUsed/>
    <w:rsid w:val="009A6F4F"/>
    <w:rPr>
      <w:color w:val="0563C1" w:themeColor="hyperlink"/>
      <w:u w:val="single"/>
    </w:rPr>
  </w:style>
  <w:style w:type="character" w:styleId="UnresolvedMention">
    <w:name w:val="Unresolved Mention"/>
    <w:basedOn w:val="DefaultParagraphFont"/>
    <w:uiPriority w:val="99"/>
    <w:semiHidden/>
    <w:unhideWhenUsed/>
    <w:rsid w:val="009A6F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02.safelinks.protection.outlook.com/?url=https%3A%2F%2Fgeoportal.statistics.gov.uk%2Fdatasets%2Fons%3A%3Alocal-authority-districts-april-2025-names-and-codes-in-the-uk-v2%2Fabout&amp;data=05%7C02%7CLauren.Hunter%40gambleaware.org%7C3bee5ac407004042eecb08de1c539838%7C0572c9ff9b6d4533a6bf5864cf7304e9%7C0%7C0%7C638979342529064164%7CUnknown%7CTWFpbGZsb3d8eyJFbXB0eU1hcGkiOnRydWUsIlYiOiIwLjAuMDAwMCIsIlAiOiJXaW4zMiIsIkFOIjoiTWFpbCIsIldUIjoyfQ%3D%3D%7C0%7C%7C%7C&amp;sdata=1CRV%2FpPylEidS4wEf0GJ8Y51kEpSqO9fZYqPCKOi5e8%3D&amp;reserved=0"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eur02.safelinks.protection.outlook.com/?url=https%3A%2F%2Fwww.ons.gov.uk%2Fpeoplepopulationandcommunity%2Fpopulationandmigration%2Fpopulationestimates%2Fdatasets%2Fpopulationestimatesforukenglandandwalesscotlandandnorthernireland&amp;data=05%7C02%7CLauren.Hunter%40gambleaware.org%7C3bee5ac407004042eecb08de1c539838%7C0572c9ff9b6d4533a6bf5864cf7304e9%7C0%7C0%7C638979342529093100%7CUnknown%7CTWFpbGZsb3d8eyJFbXB0eU1hcGkiOnRydWUsIlYiOiIwLjAuMDAwMCIsIlAiOiJXaW4zMiIsIkFOIjoiTWFpbCIsIldUIjoyfQ%3D%3D%7C0%7C%7C%7C&amp;sdata=gNgLhpkNjqu%2FcfzbRRY6KiJj7agetW3z37gRoCCVeEI%3D&amp;reserve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39b6d9394e4e22783ab63224cf37dae">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8e54447d8f26a7c72f11a50cc248f7e8"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documentManagement>
</p:properties>
</file>

<file path=customXml/itemProps1.xml><?xml version="1.0" encoding="utf-8"?>
<ds:datastoreItem xmlns:ds="http://schemas.openxmlformats.org/officeDocument/2006/customXml" ds:itemID="{B419F3B8-37E4-404C-B0B3-C6DAB23716E3}">
  <ds:schemaRefs>
    <ds:schemaRef ds:uri="http://schemas.microsoft.com/sharepoint/v3/contenttype/forms"/>
  </ds:schemaRefs>
</ds:datastoreItem>
</file>

<file path=customXml/itemProps2.xml><?xml version="1.0" encoding="utf-8"?>
<ds:datastoreItem xmlns:ds="http://schemas.openxmlformats.org/officeDocument/2006/customXml" ds:itemID="{F4D75611-A0D0-4F37-BC53-ABCEA33EF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5e95f2-36e2-41d4-a0ce-9ad94e6cad7c"/>
    <ds:schemaRef ds:uri="46910169-948c-47c7-bdc5-895e453e1d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EE3CDF-688B-41A6-8F3A-515B247EAB6A}">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883</Words>
  <Characters>5034</Characters>
  <Application>Microsoft Office Word</Application>
  <DocSecurity>0</DocSecurity>
  <Lines>41</Lines>
  <Paragraphs>11</Paragraphs>
  <ScaleCrop>false</ScaleCrop>
  <Company/>
  <LinksUpToDate>false</LinksUpToDate>
  <CharactersWithSpaces>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Hunter</dc:creator>
  <cp:keywords/>
  <dc:description/>
  <cp:lastModifiedBy>Priyanka Roychoudhury</cp:lastModifiedBy>
  <cp:revision>3</cp:revision>
  <dcterms:created xsi:type="dcterms:W3CDTF">2025-11-05T10:43:00Z</dcterms:created>
  <dcterms:modified xsi:type="dcterms:W3CDTF">2026-01-21T10:12:00Z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ies>
</file>